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85E87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93750" w:rsidRPr="00C93750">
        <w:rPr>
          <w:rFonts w:ascii="Verdana" w:hAnsi="Verdana"/>
          <w:sz w:val="18"/>
          <w:szCs w:val="18"/>
        </w:rPr>
        <w:t>Obsluha tepelných zdrojů ve správě OŘ Plzeň 2025/2027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55B84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93750" w:rsidRPr="00C937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5657801">
    <w:abstractNumId w:val="5"/>
  </w:num>
  <w:num w:numId="2" w16cid:durableId="861018442">
    <w:abstractNumId w:val="1"/>
  </w:num>
  <w:num w:numId="3" w16cid:durableId="905804164">
    <w:abstractNumId w:val="2"/>
  </w:num>
  <w:num w:numId="4" w16cid:durableId="272061058">
    <w:abstractNumId w:val="4"/>
  </w:num>
  <w:num w:numId="5" w16cid:durableId="659386779">
    <w:abstractNumId w:val="0"/>
  </w:num>
  <w:num w:numId="6" w16cid:durableId="2087872680">
    <w:abstractNumId w:val="6"/>
  </w:num>
  <w:num w:numId="7" w16cid:durableId="1292983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6F5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48E9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9375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748E9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